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2020年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8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月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日版本（V2.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）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更新主要改进及部分功能操作指引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pStyle w:val="3"/>
        <w:spacing w:line="360" w:lineRule="auto"/>
        <w:rPr>
          <w:rFonts w:hint="eastAsia" w:ascii="宋体" w:hAnsi="宋体" w:eastAsia="宋体" w:cs="宋体"/>
        </w:rPr>
      </w:pPr>
      <w:bookmarkStart w:id="1" w:name="_GoBack"/>
      <w:bookmarkEnd w:id="1"/>
      <w:r>
        <w:rPr>
          <w:rFonts w:hint="eastAsia" w:ascii="宋体" w:hAnsi="宋体" w:eastAsia="宋体" w:cs="宋体"/>
        </w:rPr>
        <w:t xml:space="preserve">网站内容管理CMS及信息公开目录：    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根据省府的要求，关闭全省各站点“一键发布”功能；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展示发布时间所选时间为未来时间时，显示提示语，提醒用户确认；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超长稿件自动校对时，不再直接报错，而是进入队列等待校对；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模板列表增加模板选择套用栏目功能；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稿件发布后可选择与相关稿件互相关联；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封面图片支持设置多张，并增加编辑功能；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复制稿件至栏目时，支持多选；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后台栏目管理添加栏目搜索功能；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后台搜索稿件时，高级搜索增加精准搜索、稿件来源等相关条件（目前标题默认的搜索方式为模糊搜索，搜索结果按照相关度排序，9月版本将改为默认精准搜索，按展示发布时间排序）；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优化公开目录预览功能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cs="宋体"/>
          <w:lang w:eastAsia="zh-CN"/>
        </w:rPr>
        <w:t>后台</w:t>
      </w:r>
      <w:r>
        <w:rPr>
          <w:rFonts w:hint="eastAsia" w:ascii="宋体" w:hAnsi="宋体" w:eastAsia="宋体" w:cs="宋体"/>
          <w:lang w:eastAsia="zh-CN"/>
        </w:rPr>
        <w:t>支持预览公开目录概览页（列表页）和细览页（正文页）；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设置了“定时撤稿时间”的稿件，将不能在设定的时间之后发布，发布时系统会报错提示；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编辑器支持插入政策解读；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模板增加按某时间值（展示发布时间或首次发布时间、创建时间）进行排序的置标，使用该置标的模板，将无视后台稿件的排列顺序，直接按照设定的排序生成稿件列表</w:t>
      </w:r>
      <w:r>
        <w:rPr>
          <w:rFonts w:hint="eastAsia" w:ascii="宋体" w:hAnsi="宋体" w:eastAsia="宋体" w:cs="宋体"/>
          <w:lang w:eastAsia="zh-CN"/>
        </w:rPr>
        <w:t>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表单栏目批量导入excel：增加基础稿签、全站扩展稿签；导入表单excel时可提示到具体哪一格出错</w:t>
      </w:r>
      <w:r>
        <w:rPr>
          <w:rFonts w:hint="eastAsia" w:ascii="宋体" w:hAnsi="宋体" w:eastAsia="宋体" w:cs="宋体"/>
          <w:lang w:eastAsia="zh-CN"/>
        </w:rPr>
        <w:t>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公开目录后台增加高级搜索功能，支持稿件来源、文种、年份、文号等搜索条件；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信息公开目录删除分类时，系统将提示用户选择：“取消同步目录稿件”或“移动目录稿件”。</w:t>
      </w:r>
    </w:p>
    <w:p>
      <w:pPr>
        <w:spacing w:line="360" w:lineRule="auto"/>
        <w:rPr>
          <w:rFonts w:hint="eastAsia" w:ascii="宋体" w:hAnsi="宋体" w:eastAsia="宋体" w:cs="宋体"/>
        </w:rPr>
      </w:pPr>
    </w:p>
    <w:p>
      <w:pPr>
        <w:pStyle w:val="3"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互动交流前端及后台</w:t>
      </w:r>
      <w:r>
        <w:rPr>
          <w:rFonts w:hint="eastAsia" w:ascii="宋体" w:hAnsi="宋体" w:eastAsia="宋体" w:cs="宋体"/>
        </w:rPr>
        <w:t>：</w:t>
      </w:r>
    </w:p>
    <w:p>
      <w:pPr>
        <w:numPr>
          <w:ilvl w:val="0"/>
          <w:numId w:val="2"/>
        </w:numPr>
        <w:spacing w:line="360" w:lineRule="auto"/>
        <w:ind w:left="858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加入非政府网站跳转提示（跳转至非gov.cn域名时提示）；</w:t>
      </w:r>
    </w:p>
    <w:p>
      <w:pPr>
        <w:numPr>
          <w:ilvl w:val="0"/>
          <w:numId w:val="2"/>
        </w:numPr>
        <w:spacing w:line="360" w:lineRule="auto"/>
        <w:ind w:left="858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留言中心后台增加回复审核机制（</w:t>
      </w:r>
      <w:r>
        <w:rPr>
          <w:rFonts w:hint="eastAsia" w:ascii="宋体" w:hAnsi="宋体" w:eastAsia="宋体" w:cs="宋体"/>
          <w:color w:val="FF0000"/>
        </w:rPr>
        <w:t>默认关闭</w: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"_留言中心后台增加回复审核机制"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Style w:val="8"/>
          <w:rFonts w:hint="eastAsia" w:ascii="宋体" w:hAnsi="宋体" w:eastAsia="宋体" w:cs="宋体"/>
        </w:rPr>
        <w:t>详细操作见指引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t>）；</w:t>
      </w:r>
    </w:p>
    <w:p>
      <w:pPr>
        <w:numPr>
          <w:ilvl w:val="0"/>
          <w:numId w:val="2"/>
        </w:numPr>
        <w:spacing w:line="360" w:lineRule="auto"/>
        <w:ind w:left="858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留言中心后台新增显示负责处室，方便管理员查看；</w:t>
      </w:r>
      <w:r>
        <w:rPr>
          <w:rFonts w:hint="eastAsia" w:ascii="宋体" w:hAnsi="宋体" w:eastAsia="宋体" w:cs="宋体"/>
          <w:lang w:eastAsia="zh-CN"/>
        </w:rPr>
        <w:t>新增处室互相指派功能；</w:t>
      </w:r>
    </w:p>
    <w:p>
      <w:pPr>
        <w:numPr>
          <w:ilvl w:val="0"/>
          <w:numId w:val="2"/>
        </w:numPr>
        <w:spacing w:line="360" w:lineRule="auto"/>
        <w:ind w:left="858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留言中心后台处室用户优化：处室用户查看该网民在本站点全部留言数量；搜索留言时，在显示列表末尾提示非本处室的剩余留言数量；管理员可关闭普通用户对留言“负责处室”进行编辑的权限；</w:t>
      </w:r>
    </w:p>
    <w:p>
      <w:pPr>
        <w:numPr>
          <w:ilvl w:val="0"/>
          <w:numId w:val="2"/>
        </w:numPr>
        <w:spacing w:line="360" w:lineRule="auto"/>
        <w:ind w:left="858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留言中心前台配置用户留言时能否选择本单位；</w:t>
      </w:r>
    </w:p>
    <w:p>
      <w:pPr>
        <w:numPr>
          <w:ilvl w:val="0"/>
          <w:numId w:val="2"/>
        </w:numPr>
        <w:spacing w:line="360" w:lineRule="auto"/>
        <w:ind w:left="858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问卷调查前台增加“查看结果”按钮</w:t>
      </w:r>
      <w:r>
        <w:rPr>
          <w:rFonts w:hint="eastAsia" w:ascii="宋体" w:hAnsi="宋体" w:eastAsia="宋体" w:cs="宋体"/>
          <w:lang w:eastAsia="zh-CN"/>
        </w:rPr>
        <w:t>；</w:t>
      </w:r>
    </w:p>
    <w:p>
      <w:pPr>
        <w:numPr>
          <w:ilvl w:val="0"/>
          <w:numId w:val="2"/>
        </w:numPr>
        <w:spacing w:line="360" w:lineRule="auto"/>
        <w:ind w:left="858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征集调查后台多项优化：新增地址、时间选择题；优化在线查看表单数据显示；上传附件限制最大200Mb；段落说明加入对齐以及首行缩进；导出时可修改导出名称；</w:t>
      </w:r>
    </w:p>
    <w:p>
      <w:pPr>
        <w:numPr>
          <w:ilvl w:val="0"/>
          <w:numId w:val="2"/>
        </w:numPr>
        <w:spacing w:line="360" w:lineRule="auto"/>
        <w:ind w:left="858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直播访谈增加音频回顾模块，文字直播模块调整为非必选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pStyle w:val="3"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其他</w:t>
      </w:r>
      <w:r>
        <w:rPr>
          <w:rFonts w:hint="eastAsia" w:ascii="宋体" w:hAnsi="宋体" w:eastAsia="宋体" w:cs="宋体"/>
        </w:rPr>
        <w:t>：</w:t>
      </w:r>
    </w:p>
    <w:p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智能监控获取栏目撤回状态，不统计已撤回栏目的及时更新情况（针对根据栏目类型进行监控的功能）；</w:t>
      </w:r>
    </w:p>
    <w:p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智能机器人“网上咨询”链接改为可配置项；</w:t>
      </w:r>
    </w:p>
    <w:p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政策文件稿件搜索增加根据发文字号进行搜索的条件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spacing w:line="360" w:lineRule="auto"/>
        <w:rPr>
          <w:rFonts w:hint="eastAsia" w:ascii="宋体" w:hAnsi="宋体" w:eastAsia="宋体" w:cs="宋体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部分功能操作指引：</w:t>
      </w:r>
    </w:p>
    <w:p>
      <w:pPr>
        <w:pStyle w:val="4"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超长稿件自动校对时，不再直接报错，而是进入队列等待校对</w:t>
      </w:r>
    </w:p>
    <w:p>
      <w:pPr>
        <w:spacing w:line="360" w:lineRule="auto"/>
        <w:rPr>
          <w:rFonts w:hint="eastAsia" w:ascii="宋体" w:hAnsi="宋体" w:eastAsia="宋体" w:cs="宋体"/>
          <w:color w:val="FF0000"/>
        </w:rPr>
      </w:pPr>
    </w:p>
    <w:p>
      <w:pPr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新增一篇超长稿件后，点击提交审核</w:t>
      </w:r>
      <w:r>
        <w:rPr>
          <w:rFonts w:hint="eastAsia" w:ascii="宋体" w:hAnsi="宋体" w:eastAsia="宋体" w:cs="宋体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2498725"/>
            <wp:effectExtent l="0" t="0" r="1270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</w:p>
    <w:p>
      <w:pPr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提审之后稿件将进入校对服排队等待校对，弹框会展示进度条。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390265" cy="2324735"/>
            <wp:effectExtent l="0" t="0" r="63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</w:p>
    <w:p>
      <w:pPr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得出校对结果。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57800" cy="23755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</w:p>
    <w:p>
      <w:pPr>
        <w:spacing w:line="360" w:lineRule="auto"/>
        <w:rPr>
          <w:rFonts w:hint="eastAsia" w:ascii="宋体" w:hAnsi="宋体" w:eastAsia="宋体" w:cs="宋体"/>
        </w:rPr>
      </w:pPr>
    </w:p>
    <w:p>
      <w:pPr>
        <w:spacing w:line="360" w:lineRule="auto"/>
        <w:rPr>
          <w:rFonts w:hint="eastAsia" w:ascii="宋体" w:hAnsi="宋体" w:eastAsia="宋体" w:cs="宋体"/>
        </w:rPr>
      </w:pPr>
    </w:p>
    <w:p>
      <w:pPr>
        <w:spacing w:line="360" w:lineRule="auto"/>
        <w:rPr>
          <w:rFonts w:hint="eastAsia" w:ascii="宋体" w:hAnsi="宋体" w:eastAsia="宋体" w:cs="宋体"/>
        </w:rPr>
      </w:pPr>
    </w:p>
    <w:p>
      <w:pPr>
        <w:spacing w:line="360" w:lineRule="auto"/>
        <w:rPr>
          <w:rFonts w:hint="eastAsia" w:ascii="宋体" w:hAnsi="宋体" w:eastAsia="宋体" w:cs="宋体"/>
        </w:rPr>
      </w:pPr>
    </w:p>
    <w:p>
      <w:pPr>
        <w:pStyle w:val="4"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稿件发布后可选择与相关稿件互相关联</w:t>
      </w:r>
    </w:p>
    <w:p>
      <w:pPr>
        <w:spacing w:line="360" w:lineRule="auto"/>
        <w:rPr>
          <w:rFonts w:hint="eastAsia" w:ascii="宋体" w:hAnsi="宋体" w:eastAsia="宋体" w:cs="宋体"/>
          <w:u w:val="single"/>
          <w:lang w:eastAsia="zh-CN"/>
        </w:rPr>
      </w:pPr>
      <w:r>
        <w:rPr>
          <w:rFonts w:hint="eastAsia" w:ascii="宋体" w:hAnsi="宋体" w:eastAsia="宋体" w:cs="宋体"/>
          <w:u w:val="single"/>
          <w:lang w:eastAsia="zh-CN"/>
        </w:rPr>
        <w:t>操作注意事项：</w:t>
      </w:r>
    </w:p>
    <w:p>
      <w:pPr>
        <w:numPr>
          <w:ilvl w:val="0"/>
          <w:numId w:val="5"/>
        </w:numPr>
        <w:spacing w:line="360" w:lineRule="auto"/>
        <w:ind w:left="0" w:leftChars="0" w:firstLine="420" w:firstLineChars="200"/>
        <w:rPr>
          <w:rFonts w:hint="eastAsia" w:ascii="宋体" w:hAnsi="宋体" w:eastAsia="宋体" w:cs="宋体"/>
          <w:u w:val="single"/>
          <w:lang w:eastAsia="zh-CN"/>
        </w:rPr>
      </w:pPr>
      <w:r>
        <w:rPr>
          <w:rFonts w:hint="eastAsia" w:ascii="宋体" w:hAnsi="宋体" w:eastAsia="宋体" w:cs="宋体"/>
          <w:u w:val="single"/>
          <w:lang w:eastAsia="zh-CN"/>
        </w:rPr>
        <w:t>互为关联稿件需均在同一站点下（如同一站点下的政策原文栏目和政策解读栏目）；</w:t>
      </w:r>
    </w:p>
    <w:p>
      <w:pPr>
        <w:numPr>
          <w:ilvl w:val="0"/>
          <w:numId w:val="5"/>
        </w:numPr>
        <w:spacing w:line="360" w:lineRule="auto"/>
        <w:ind w:left="0" w:leftChars="0" w:firstLine="42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u w:val="single"/>
          <w:lang w:eastAsia="zh-CN"/>
        </w:rPr>
        <w:t>操作账号必须同时拥有</w:t>
      </w:r>
      <w:r>
        <w:rPr>
          <w:rFonts w:hint="eastAsia" w:ascii="宋体" w:hAnsi="宋体" w:eastAsia="宋体" w:cs="宋体"/>
          <w:u w:val="single"/>
          <w:lang w:val="en-US" w:eastAsia="zh-CN"/>
        </w:rPr>
        <w:t>2个栏目的编发审权限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>
      <w:pPr>
        <w:numPr>
          <w:ilvl w:val="0"/>
          <w:numId w:val="6"/>
        </w:numPr>
        <w:spacing w:line="360" w:lineRule="auto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lang w:eastAsia="zh-CN"/>
        </w:rPr>
        <w:t>新增政策解读稿件，并在编辑页面选择关联政策原文</w:t>
      </w:r>
      <w:r>
        <w:rPr>
          <w:rFonts w:hint="eastAsia" w:ascii="宋体" w:hAnsi="宋体" w:eastAsia="宋体" w:cs="宋体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3075940"/>
            <wp:effectExtent l="0" t="0" r="825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审核后点击发布按钮，系统将自动弹出弹框，让用户是否选择将政策原文也一并关联政策解读，点击设置并发布，政策原文即同步关联政策解读</w:t>
      </w:r>
      <w:r>
        <w:rPr>
          <w:rFonts w:hint="eastAsia" w:ascii="宋体" w:hAnsi="宋体" w:eastAsia="宋体" w:cs="宋体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2462530"/>
            <wp:effectExtent l="0" t="0" r="6350" b="139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960" cy="1527175"/>
            <wp:effectExtent l="0" t="0" r="8890" b="1587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</w:rPr>
      </w:pPr>
    </w:p>
    <w:p>
      <w:pPr>
        <w:spacing w:line="360" w:lineRule="auto"/>
        <w:rPr>
          <w:rFonts w:hint="eastAsia" w:ascii="宋体" w:hAnsi="宋体" w:eastAsia="宋体" w:cs="宋体"/>
        </w:rPr>
      </w:pPr>
    </w:p>
    <w:p>
      <w:pPr>
        <w:pStyle w:val="4"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封面图片支持设置多张，并增加编辑功能</w:t>
      </w:r>
    </w:p>
    <w:p>
      <w:pPr>
        <w:numPr>
          <w:ilvl w:val="0"/>
          <w:numId w:val="7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新增稿件后点击上传封面图片（多张）</w:t>
      </w:r>
      <w:r>
        <w:rPr>
          <w:rFonts w:hint="eastAsia" w:ascii="宋体" w:hAnsi="宋体" w:eastAsia="宋体" w:cs="宋体"/>
        </w:rPr>
        <w:t>。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3515" cy="3034665"/>
            <wp:effectExtent l="0" t="0" r="1333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选择之后可对封面图片进行编辑</w:t>
      </w:r>
      <w:r>
        <w:rPr>
          <w:rFonts w:hint="eastAsia" w:ascii="宋体" w:hAnsi="宋体" w:eastAsia="宋体" w:cs="宋体"/>
        </w:rPr>
        <w:t>。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960" cy="2839720"/>
            <wp:effectExtent l="0" t="0" r="889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hint="eastAsia" w:ascii="宋体" w:hAnsi="宋体" w:eastAsia="宋体" w:cs="宋体"/>
        </w:rPr>
      </w:pPr>
      <w:bookmarkStart w:id="0" w:name="_留言中心后台增加回复审核机制"/>
      <w:r>
        <w:rPr>
          <w:rFonts w:hint="eastAsia" w:ascii="宋体" w:hAnsi="宋体" w:eastAsia="宋体" w:cs="宋体"/>
        </w:rPr>
        <w:t>留言中心后台增加回复审核机制</w:t>
      </w:r>
    </w:p>
    <w:bookmarkEnd w:id="0"/>
    <w:p>
      <w:pPr>
        <w:numPr>
          <w:ilvl w:val="0"/>
          <w:numId w:val="8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站点管理员进入留言中心后，点击管理设置</w:t>
      </w:r>
      <w:r>
        <w:rPr>
          <w:rFonts w:hint="eastAsia" w:ascii="宋体" w:hAnsi="宋体" w:eastAsia="宋体" w:cs="宋体"/>
          <w:lang w:val="en-US" w:eastAsia="zh-CN"/>
        </w:rPr>
        <w:t>-用户权限，即可打开审核设置；单位根据业务所需可以设置审核等级。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770" cy="1379220"/>
            <wp:effectExtent l="0" t="0" r="5080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754755" cy="2368550"/>
            <wp:effectExtent l="0" t="0" r="17145" b="1270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审核等级设置完后，即可回到用户权限列表给不同的用户配置审核权限，如一审、二审等（审核角色可多选，如只选二审权限，此账号不能审核需要一审的留言；如多选一审二审，则此账号可以同时审核需要一审和二审的留言）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0340" cy="1354455"/>
            <wp:effectExtent l="0" t="0" r="16510" b="1714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以上设置均完成后，站点的新留言将需要审核完毕后才能推送回复网民，留言前方会出现【一审】</w:t>
      </w:r>
      <w:r>
        <w:rPr>
          <w:rFonts w:hint="eastAsia" w:ascii="宋体" w:hAnsi="宋体" w:eastAsia="宋体" w:cs="宋体"/>
          <w:lang w:val="en-US" w:eastAsia="zh-CN"/>
        </w:rPr>
        <w:t>/【n审】提示标识，并推送消息给审核权限用户，有审核权限的用户即可审核发布留言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543300" cy="2700655"/>
            <wp:effectExtent l="0" t="0" r="0" b="444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1042670"/>
            <wp:effectExtent l="0" t="0" r="10160" b="508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618865" cy="2753995"/>
            <wp:effectExtent l="0" t="0" r="635" b="825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</w:p>
    <w:p>
      <w:pPr>
        <w:pStyle w:val="4"/>
        <w:bidi w:val="0"/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留言中心后台新增显示负责处室，方便管理员查看；</w:t>
      </w:r>
      <w:r>
        <w:rPr>
          <w:rFonts w:hint="eastAsia" w:ascii="宋体" w:hAnsi="宋体" w:eastAsia="宋体" w:cs="宋体"/>
          <w:lang w:eastAsia="zh-CN"/>
        </w:rPr>
        <w:t>新增处室互相指派功能</w:t>
      </w:r>
    </w:p>
    <w:p>
      <w:pPr>
        <w:numPr>
          <w:ilvl w:val="0"/>
          <w:numId w:val="9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进入留言中心</w:t>
      </w:r>
      <w:r>
        <w:rPr>
          <w:rFonts w:hint="eastAsia" w:ascii="宋体" w:hAnsi="宋体" w:eastAsia="宋体" w:cs="宋体"/>
          <w:lang w:val="en-US" w:eastAsia="zh-CN"/>
        </w:rPr>
        <w:t>-本站点留言，即可在留言列表内看到留言负责处室。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310" cy="4558030"/>
            <wp:effectExtent l="0" t="0" r="2540" b="1397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处室互相指派功能，管理员进入管理设置</w:t>
      </w:r>
      <w:r>
        <w:rPr>
          <w:rFonts w:hint="eastAsia" w:ascii="宋体" w:hAnsi="宋体" w:eastAsia="宋体" w:cs="宋体"/>
          <w:lang w:val="en-US" w:eastAsia="zh-CN"/>
        </w:rPr>
        <w:t>-用户权限-处室设置，即可开启（</w:t>
      </w:r>
      <w:r>
        <w:rPr>
          <w:rFonts w:hint="eastAsia" w:ascii="宋体" w:hAnsi="宋体" w:eastAsia="宋体" w:cs="宋体"/>
          <w:u w:val="single"/>
          <w:lang w:eastAsia="zh-CN"/>
        </w:rPr>
        <w:t>开启此功能，处室用户即可互相指派留言；如关闭，则只能是管理员修改指派</w:t>
      </w:r>
      <w:r>
        <w:rPr>
          <w:rFonts w:hint="eastAsia" w:ascii="宋体" w:hAnsi="宋体" w:eastAsia="宋体" w:cs="宋体"/>
          <w:lang w:val="en-US" w:eastAsia="zh-CN"/>
        </w:rPr>
        <w:t>）。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310" cy="1632585"/>
            <wp:effectExtent l="0" t="0" r="2540" b="571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1481455"/>
            <wp:effectExtent l="0" t="0" r="10160" b="444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开启此功能后，处室用户即可在留言编辑页面把留言指派给其他处室处理。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300345" cy="4048760"/>
            <wp:effectExtent l="0" t="0" r="14605" b="889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3888740"/>
            <wp:effectExtent l="0" t="0" r="6350" b="1651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</w:p>
    <w:p>
      <w:pPr>
        <w:pStyle w:val="4"/>
        <w:bidi w:val="0"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智能机器人“网上咨询”链接改为可配置项</w:t>
      </w:r>
    </w:p>
    <w:p>
      <w:pPr>
        <w:numPr>
          <w:ilvl w:val="0"/>
          <w:numId w:val="10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管理员点击进入智能搜索与机器人，进入智能机器人</w:t>
      </w:r>
      <w:r>
        <w:rPr>
          <w:rFonts w:hint="eastAsia" w:ascii="宋体" w:hAnsi="宋体" w:eastAsia="宋体" w:cs="宋体"/>
          <w:lang w:val="en-US" w:eastAsia="zh-CN"/>
        </w:rPr>
        <w:t>-基础配置，</w:t>
      </w:r>
      <w:r>
        <w:rPr>
          <w:rFonts w:hint="eastAsia" w:ascii="宋体" w:hAnsi="宋体" w:eastAsia="宋体" w:cs="宋体"/>
          <w:lang w:eastAsia="zh-CN"/>
        </w:rPr>
        <w:t>把需要跳转的链接粘贴到编辑框内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865" cy="2246630"/>
            <wp:effectExtent l="0" t="0" r="6985" b="127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</w:p>
    <w:p>
      <w:pPr>
        <w:numPr>
          <w:ilvl w:val="0"/>
          <w:numId w:val="10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点击提交</w:t>
      </w:r>
      <w:r>
        <w:rPr>
          <w:rFonts w:hint="eastAsia" w:ascii="宋体" w:hAnsi="宋体" w:eastAsia="宋体" w:cs="宋体"/>
          <w:lang w:val="en-US" w:eastAsia="zh-CN"/>
        </w:rPr>
        <w:t>，将更新前端智能机器人的留言入口，网民点击后将跳转到地址指向的页面。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1770380"/>
            <wp:effectExtent l="0" t="0" r="10160" b="127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</w:p>
    <w:p>
      <w:pPr>
        <w:pStyle w:val="4"/>
        <w:bidi w:val="0"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表单栏目批量导入excel：增加基础稿签、全站扩展稿签；导入表单excel时可提示到具体哪一格出错</w:t>
      </w:r>
    </w:p>
    <w:p>
      <w:pPr>
        <w:numPr>
          <w:ilvl w:val="0"/>
          <w:numId w:val="1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站点管理员</w:t>
      </w:r>
      <w:r>
        <w:rPr>
          <w:rFonts w:hint="eastAsia" w:ascii="宋体" w:hAnsi="宋体" w:eastAsia="宋体" w:cs="宋体"/>
          <w:lang w:val="en-US" w:eastAsia="zh-CN"/>
        </w:rPr>
        <w:t>/栏目节点管理员点击表单栏目操作-表单栏目管理（扩展稿签），即可为表单栏目增加基础稿签/全站扩展稿签。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2245" cy="2152650"/>
            <wp:effectExtent l="0" t="0" r="14605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进入扩展稿签配置页面，即可为本栏目或者全站栏目配置扩展稿签。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3215005"/>
            <wp:effectExtent l="0" t="0" r="6350" b="444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配置完毕后，回到表单栏目，点击上传</w:t>
      </w:r>
      <w:r>
        <w:rPr>
          <w:rFonts w:hint="eastAsia" w:ascii="宋体" w:hAnsi="宋体" w:eastAsia="宋体" w:cs="宋体"/>
          <w:lang w:val="en-US" w:eastAsia="zh-CN"/>
        </w:rPr>
        <w:t>Excel批量建稿-下载Excel模板，即可在Excel文件内批量建稿，同时新增的扩展稿签也会加入在Excel文件内。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960" cy="1966595"/>
            <wp:effectExtent l="0" t="0" r="8890" b="1460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862705" cy="2319020"/>
            <wp:effectExtent l="0" t="0" r="4445" b="508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59070" cy="1758950"/>
            <wp:effectExtent l="0" t="0" r="17780" b="1270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填写好</w:t>
      </w:r>
      <w:r>
        <w:rPr>
          <w:rFonts w:hint="eastAsia" w:ascii="宋体" w:hAnsi="宋体" w:eastAsia="宋体" w:cs="宋体"/>
          <w:lang w:val="en-US" w:eastAsia="zh-CN"/>
        </w:rPr>
        <w:t>Excel文档后即可上传，如Excel文档内有填写错误，系统会指出具体是哪一格出错，根据指引处理好错误的单元格后即可重新上传。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966210" cy="2559685"/>
            <wp:effectExtent l="0" t="0" r="15240" b="1206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988435" cy="2416175"/>
            <wp:effectExtent l="0" t="0" r="12065" b="317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</w:p>
    <w:p>
      <w:pPr>
        <w:pStyle w:val="4"/>
        <w:bidi w:val="0"/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网站栏目后台高级搜索增加稿件来源和精确搜索；公开目录后台增加高级搜索功能，支持稿件来源、文种、年份、文号等搜索条件</w:t>
      </w:r>
    </w:p>
    <w:p>
      <w:pPr>
        <w:widowControl w:val="0"/>
        <w:numPr>
          <w:ilvl w:val="0"/>
          <w:numId w:val="12"/>
        </w:numPr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网站栏目后台高级搜索增加稿件来源和精确搜索。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5420" cy="2650490"/>
            <wp:effectExtent l="0" t="0" r="11430" b="1651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2"/>
        </w:numPr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公开目录后台增加高级搜索功能，支持稿件来源、文种、年份、文号等搜索条件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2880" cy="2862580"/>
            <wp:effectExtent l="0" t="0" r="13970" b="1397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</w:rPr>
      </w:pPr>
    </w:p>
    <w:p>
      <w:pPr>
        <w:pStyle w:val="4"/>
        <w:bidi w:val="0"/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信息公开目录删除分类时，系统将提示用户选择：“取消同步目录稿件”或“移动目录稿件”</w:t>
      </w:r>
    </w:p>
    <w:p>
      <w:pPr>
        <w:numPr>
          <w:ilvl w:val="0"/>
          <w:numId w:val="13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站点管理员进入站点管理</w:t>
      </w:r>
      <w:r>
        <w:rPr>
          <w:rFonts w:hint="eastAsia" w:ascii="宋体" w:hAnsi="宋体" w:eastAsia="宋体" w:cs="宋体"/>
          <w:lang w:val="en-US" w:eastAsia="zh-CN"/>
        </w:rPr>
        <w:t>-公开目录分类，点击删除需要删除的公开目录分类。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960" cy="2894330"/>
            <wp:effectExtent l="0" t="0" r="8890" b="1270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如此分类下有公开目录稿件，则系统会提示用户选择：“取消同步目录稿件”或“移动目录稿件”。【“取消同步目录稿件”即取消源稿同步到该公开目录分类的关系，源稿件（网站栏目）不会被撤稿；“移动目录稿件”即将此公开目录分类下的稿件移动到别的公开目录分类，源稿件（网站栏目）不受影响】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717800"/>
            <wp:effectExtent l="0" t="0" r="9525" b="635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</w:rPr>
      </w:pPr>
    </w:p>
    <w:p>
      <w:pPr>
        <w:spacing w:line="360" w:lineRule="auto"/>
        <w:rPr>
          <w:rFonts w:hint="eastAsia" w:ascii="宋体" w:hAnsi="宋体" w:eastAsia="宋体" w:cs="宋体"/>
          <w:lang w:eastAsia="zh-CN"/>
        </w:rPr>
      </w:pPr>
    </w:p>
    <w:p>
      <w:pPr>
        <w:spacing w:line="360" w:lineRule="auto"/>
        <w:rPr>
          <w:rFonts w:hint="eastAsia" w:ascii="宋体" w:hAnsi="宋体" w:eastAsia="宋体" w:cs="宋体"/>
        </w:rPr>
      </w:pPr>
    </w:p>
    <w:p>
      <w:pPr>
        <w:spacing w:line="360" w:lineRule="auto"/>
        <w:rPr>
          <w:rFonts w:hint="eastAsia" w:ascii="宋体" w:hAnsi="宋体" w:eastAsia="宋体" w:cs="宋体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UEyylQ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1CCF00"/>
    <w:multiLevelType w:val="multilevel"/>
    <w:tmpl w:val="8A1CCF00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  <w:b w:val="0"/>
        <w:bCs w:val="0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8F22BD92"/>
    <w:multiLevelType w:val="multilevel"/>
    <w:tmpl w:val="8F22BD92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  <w:b w:val="0"/>
        <w:bCs w:val="0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A36192CA"/>
    <w:multiLevelType w:val="multilevel"/>
    <w:tmpl w:val="A36192CA"/>
    <w:lvl w:ilvl="0" w:tentative="0">
      <w:start w:val="1"/>
      <w:numFmt w:val="decimal"/>
      <w:lvlText w:val="%1."/>
      <w:lvlJc w:val="left"/>
      <w:pPr>
        <w:ind w:left="858" w:hanging="420"/>
      </w:pPr>
      <w:rPr>
        <w:sz w:val="24"/>
      </w:rPr>
    </w:lvl>
    <w:lvl w:ilvl="1" w:tentative="0">
      <w:start w:val="1"/>
      <w:numFmt w:val="lowerLetter"/>
      <w:lvlText w:val="%2)"/>
      <w:lvlJc w:val="left"/>
      <w:pPr>
        <w:ind w:left="1278" w:hanging="420"/>
      </w:pPr>
    </w:lvl>
    <w:lvl w:ilvl="2" w:tentative="0">
      <w:start w:val="1"/>
      <w:numFmt w:val="lowerRoman"/>
      <w:lvlText w:val="%3."/>
      <w:lvlJc w:val="right"/>
      <w:pPr>
        <w:ind w:left="1698" w:hanging="420"/>
      </w:pPr>
    </w:lvl>
    <w:lvl w:ilvl="3" w:tentative="0">
      <w:start w:val="1"/>
      <w:numFmt w:val="decimal"/>
      <w:lvlText w:val="%4."/>
      <w:lvlJc w:val="left"/>
      <w:pPr>
        <w:ind w:left="2118" w:hanging="420"/>
      </w:pPr>
    </w:lvl>
    <w:lvl w:ilvl="4" w:tentative="0">
      <w:start w:val="1"/>
      <w:numFmt w:val="lowerLetter"/>
      <w:lvlText w:val="%5)"/>
      <w:lvlJc w:val="left"/>
      <w:pPr>
        <w:ind w:left="2538" w:hanging="420"/>
      </w:pPr>
    </w:lvl>
    <w:lvl w:ilvl="5" w:tentative="0">
      <w:start w:val="1"/>
      <w:numFmt w:val="lowerRoman"/>
      <w:lvlText w:val="%6."/>
      <w:lvlJc w:val="right"/>
      <w:pPr>
        <w:ind w:left="2958" w:hanging="420"/>
      </w:pPr>
    </w:lvl>
    <w:lvl w:ilvl="6" w:tentative="0">
      <w:start w:val="1"/>
      <w:numFmt w:val="decimal"/>
      <w:lvlText w:val="%7."/>
      <w:lvlJc w:val="left"/>
      <w:pPr>
        <w:ind w:left="3378" w:hanging="420"/>
      </w:pPr>
    </w:lvl>
    <w:lvl w:ilvl="7" w:tentative="0">
      <w:start w:val="1"/>
      <w:numFmt w:val="lowerLetter"/>
      <w:lvlText w:val="%8)"/>
      <w:lvlJc w:val="left"/>
      <w:pPr>
        <w:ind w:left="3798" w:hanging="420"/>
      </w:pPr>
    </w:lvl>
    <w:lvl w:ilvl="8" w:tentative="0">
      <w:start w:val="1"/>
      <w:numFmt w:val="lowerRoman"/>
      <w:lvlText w:val="%9."/>
      <w:lvlJc w:val="right"/>
      <w:pPr>
        <w:ind w:left="4218" w:hanging="420"/>
      </w:pPr>
    </w:lvl>
  </w:abstractNum>
  <w:abstractNum w:abstractNumId="3">
    <w:nsid w:val="B76D0D6B"/>
    <w:multiLevelType w:val="singleLevel"/>
    <w:tmpl w:val="B76D0D6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E8F846CE"/>
    <w:multiLevelType w:val="multilevel"/>
    <w:tmpl w:val="E8F846CE"/>
    <w:lvl w:ilvl="0" w:tentative="0">
      <w:start w:val="1"/>
      <w:numFmt w:val="decimal"/>
      <w:lvlText w:val="%1."/>
      <w:lvlJc w:val="left"/>
      <w:pPr>
        <w:ind w:left="858" w:hanging="420"/>
      </w:pPr>
      <w:rPr>
        <w:sz w:val="24"/>
      </w:rPr>
    </w:lvl>
    <w:lvl w:ilvl="1" w:tentative="0">
      <w:start w:val="1"/>
      <w:numFmt w:val="lowerLetter"/>
      <w:lvlText w:val="%2)"/>
      <w:lvlJc w:val="left"/>
      <w:pPr>
        <w:ind w:left="1278" w:hanging="420"/>
      </w:pPr>
    </w:lvl>
    <w:lvl w:ilvl="2" w:tentative="0">
      <w:start w:val="1"/>
      <w:numFmt w:val="lowerRoman"/>
      <w:lvlText w:val="%3."/>
      <w:lvlJc w:val="right"/>
      <w:pPr>
        <w:ind w:left="1698" w:hanging="420"/>
      </w:pPr>
    </w:lvl>
    <w:lvl w:ilvl="3" w:tentative="0">
      <w:start w:val="1"/>
      <w:numFmt w:val="decimal"/>
      <w:lvlText w:val="%4."/>
      <w:lvlJc w:val="left"/>
      <w:pPr>
        <w:ind w:left="2118" w:hanging="420"/>
      </w:pPr>
    </w:lvl>
    <w:lvl w:ilvl="4" w:tentative="0">
      <w:start w:val="1"/>
      <w:numFmt w:val="lowerLetter"/>
      <w:lvlText w:val="%5)"/>
      <w:lvlJc w:val="left"/>
      <w:pPr>
        <w:ind w:left="2538" w:hanging="420"/>
      </w:pPr>
    </w:lvl>
    <w:lvl w:ilvl="5" w:tentative="0">
      <w:start w:val="1"/>
      <w:numFmt w:val="lowerRoman"/>
      <w:lvlText w:val="%6."/>
      <w:lvlJc w:val="right"/>
      <w:pPr>
        <w:ind w:left="2958" w:hanging="420"/>
      </w:pPr>
    </w:lvl>
    <w:lvl w:ilvl="6" w:tentative="0">
      <w:start w:val="1"/>
      <w:numFmt w:val="decimal"/>
      <w:lvlText w:val="%7."/>
      <w:lvlJc w:val="left"/>
      <w:pPr>
        <w:ind w:left="3378" w:hanging="420"/>
      </w:pPr>
    </w:lvl>
    <w:lvl w:ilvl="7" w:tentative="0">
      <w:start w:val="1"/>
      <w:numFmt w:val="lowerLetter"/>
      <w:lvlText w:val="%8)"/>
      <w:lvlJc w:val="left"/>
      <w:pPr>
        <w:ind w:left="3798" w:hanging="420"/>
      </w:pPr>
    </w:lvl>
    <w:lvl w:ilvl="8" w:tentative="0">
      <w:start w:val="1"/>
      <w:numFmt w:val="lowerRoman"/>
      <w:lvlText w:val="%9."/>
      <w:lvlJc w:val="right"/>
      <w:pPr>
        <w:ind w:left="4218" w:hanging="420"/>
      </w:pPr>
    </w:lvl>
  </w:abstractNum>
  <w:abstractNum w:abstractNumId="5">
    <w:nsid w:val="F30B5E18"/>
    <w:multiLevelType w:val="multilevel"/>
    <w:tmpl w:val="F30B5E18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  <w:b w:val="0"/>
        <w:bCs w:val="0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F6A6FA01"/>
    <w:multiLevelType w:val="multilevel"/>
    <w:tmpl w:val="F6A6FA01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  <w:b w:val="0"/>
        <w:bCs w:val="0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53E76F8"/>
    <w:multiLevelType w:val="multilevel"/>
    <w:tmpl w:val="153E76F8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  <w:b w:val="0"/>
        <w:bCs w:val="0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A0FF5AA"/>
    <w:multiLevelType w:val="multilevel"/>
    <w:tmpl w:val="1A0FF5AA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  <w:b w:val="0"/>
        <w:bCs w:val="0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8DF990D"/>
    <w:multiLevelType w:val="multilevel"/>
    <w:tmpl w:val="28DF990D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  <w:b w:val="0"/>
        <w:bCs w:val="0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DCDC07A"/>
    <w:multiLevelType w:val="multilevel"/>
    <w:tmpl w:val="2DCDC07A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 w:asciiTheme="minorEastAsia" w:hAnsiTheme="minorEastAsia" w:eastAsiaTheme="minorEastAsia" w:cstheme="minorEastAsia"/>
        <w:sz w:val="24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01BCBEF"/>
    <w:multiLevelType w:val="multilevel"/>
    <w:tmpl w:val="401BCBEF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  <w:b w:val="0"/>
        <w:bCs w:val="0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8D407AB"/>
    <w:multiLevelType w:val="multilevel"/>
    <w:tmpl w:val="58D407AB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2"/>
  </w:num>
  <w:num w:numId="5">
    <w:abstractNumId w:val="3"/>
  </w:num>
  <w:num w:numId="6">
    <w:abstractNumId w:val="9"/>
  </w:num>
  <w:num w:numId="7">
    <w:abstractNumId w:val="6"/>
  </w:num>
  <w:num w:numId="8">
    <w:abstractNumId w:val="7"/>
  </w:num>
  <w:num w:numId="9">
    <w:abstractNumId w:val="1"/>
  </w:num>
  <w:num w:numId="10">
    <w:abstractNumId w:val="0"/>
  </w:num>
  <w:num w:numId="11">
    <w:abstractNumId w:val="5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535513"/>
    <w:rsid w:val="002655C0"/>
    <w:rsid w:val="003B6669"/>
    <w:rsid w:val="00852232"/>
    <w:rsid w:val="00FB56B2"/>
    <w:rsid w:val="03FB5D34"/>
    <w:rsid w:val="04172E39"/>
    <w:rsid w:val="04A557B6"/>
    <w:rsid w:val="0C572695"/>
    <w:rsid w:val="12475282"/>
    <w:rsid w:val="1B811A31"/>
    <w:rsid w:val="1B872744"/>
    <w:rsid w:val="1C5C5E9E"/>
    <w:rsid w:val="204C6CC8"/>
    <w:rsid w:val="20541B97"/>
    <w:rsid w:val="2F32090F"/>
    <w:rsid w:val="472D486C"/>
    <w:rsid w:val="49C0174B"/>
    <w:rsid w:val="4B704DCD"/>
    <w:rsid w:val="51A3757F"/>
    <w:rsid w:val="53C527E6"/>
    <w:rsid w:val="56E018BC"/>
    <w:rsid w:val="618C4092"/>
    <w:rsid w:val="62CA2785"/>
    <w:rsid w:val="664C3F5B"/>
    <w:rsid w:val="7B53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332</Words>
  <Characters>1895</Characters>
  <Lines>15</Lines>
  <Paragraphs>4</Paragraphs>
  <TotalTime>8</TotalTime>
  <ScaleCrop>false</ScaleCrop>
  <LinksUpToDate>false</LinksUpToDate>
  <CharactersWithSpaces>2223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2020-06-10T06:45:00Z</dcterms:created>
  <dc:creator>maizh</dc:creator>
  <cp:lastModifiedBy>豪豪豪</cp:lastModifiedBy>
  <dcterms:modified xsi:type="dcterms:W3CDTF">2020-08-04T07:47:18Z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